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11</w:t>
      </w:r>
    </w:p>
    <w:p>
      <w:r>
        <w:t>Bundesgericht (BGE), 1988-06-27, DE</w:t>
      </w:r>
    </w:p>
    <w:p>
      <w:r>
        <w:rPr>
          <w:b/>
        </w:rPr>
        <w:t xml:space="preserve">Quelle: </w:t>
      </w:r>
      <w:r>
        <w:t>https://mcp.opencaselaw.ch/entscheid/bge_114 IV 11</w:t>
      </w:r>
    </w:p>
    <w:p>
      <w:r>
        <w:t>FR: ATF 114 IV 11</w:t>
      </w:r>
    </w:p>
    <w:p>
      <w:r>
        <w:t>IT: DTF 114 IV 11</w:t>
      </w:r>
    </w:p>
    <w:p>
      <w:pPr>
        <w:pStyle w:val="Heading2"/>
      </w:pPr>
      <w:r>
        <w:t>Regeste</w:t>
      </w:r>
    </w:p>
    <w:p>
      <w:r>
        <w:t>Regeste Art. 164 Ziff. 1 StGB; Art. 91 Abs. 1 SchKG. Pfändungsbetrug: Verheimlichen von Vermögenswerten, Auskunftspflicht. Der Schuldner hat in der Betreibung auf Pfändung auch auf im Ausland erzielte Einkünfte und dort gelegene Vermögensgegenstände hinzuweisen (E. 1). Die Auskunftspflicht erstreckt sich jedoch nicht auf Vermögensverhältnisse eines Dritten, selbst wenn diese die Höhe des schuldnerischen Vermögens beeinflussen (E. 2).</w:t>
      </w:r>
    </w:p>
    <w:p>
      <w:pPr>
        <w:pStyle w:val="Heading2"/>
      </w:pPr>
      <w:r>
        <w:t>Erwägungen</w:t>
      </w:r>
    </w:p>
    <w:p>
      <w:r>
        <w:rPr>
          <w:b/>
        </w:rPr>
        <w:t>E. 1</w:t>
      </w:r>
    </w:p>
    <w:p>
      <w:r>
        <w:t>Der Beschwerdeführer rügt unter Hinweis auf das Territorialitätsprinzip, Art. 164 StGB sei ausschliesslich auf die Verheimlichung von Vermögenswerten in der Schweiz anwendbar. a) Gemäss Art. 164 Ziff. 1 StGB macht sich der der Betreibung auf Pfändung unterliegende Schuldner strafbar, der zum Nachteile seiner Gläubiger sein Vermögen verheimlicht. Es stellt sich die Frage, ob der Schuldner auch auf Vermögenswerte hinweisen muss, die möglicherweise oder sogar mit Sicherheit nicht gepfändet werden können, weil sie sich jedenfalls nach Auffassung des Schuldners im Ausland befinden und deshalb dem Pfändungsbeschlag in der Schweiz entzogen sind. b) Gemäss Art. 91 Abs. 1 SchKG hat der Schuldner, soweit es für eine genügende Pfändung nötig ist, seine Vermögensgegenstände anzugeben, mit Einschluss derjenigen, welche sich nicht in seinem Gewahrsam befinden, sowie seiner Forderungen und BGE 114 IV 11 S. 13 Rechte gegenüber Dritten. Das Bundesgericht hat in BGE 103 IV 233 angenommen, Angriffsobjekt des Paralleltatbestandes des betrügerischen Konkurses sei das Schuldnervermögen, soweit es nach dem Betreibungsrecht dem Zugriff der Gläubiger im Konkurs offensteht, nicht aber Vermögen, das seiner Natur nach oder kraft besonderer Vorschrift der Zwangsvollstreckung entzogen ist. Im Konkurs der Fondsleitung eines Anlagefonds sei deshalb Vermögen im Sinne von Art. 163 StGB nur das eigene Vermögen der Fondsleitung, nicht aber auch das Fondsvermögen. Dieser Entscheid lässt sich nicht generell auf die vorliegende Konstellation übertragen: Unter Vorbehalt der Ausführungen in E. 2 wird dem Beschwerdeführer im Unterschied zum zitierten Fall nicht vorgeworfen, dass er Vermögen eines Dritten nicht angegeben hat, sondern eigene Vermögenswerte, nämlich die ihm gehörenden Aktien der V. AG Zug und der V. AG St. Niklausen. Fragen kann man sich einzig, ob diese Aktien nicht Gegenstand des Pfändungsverfahrens sein konnten, weil sie sich zu diesem Zeitpunkt auf dem Sperrkonto einer Bank im Ausland befunden hätten, und der Beschwerdeführer deshalb nicht verpflichtet gewesen wäre, sie anzugeben. Die Frage ist zu verneinen. Der Zweck der Vorschrift spricht dafür, dass der Schuldner gehalten ist, auch auf im Ausland erzielte Einkünfte und auf im Ausland gelegene Vermögensgegenstände hinzuweisen (vgl. JAEGER, Art. 91 N. 7; PIERRE-ROBERT GILLIÉRON, Poursuite pour dette, faillite et concordat, Lausanne 1985, S. 172 f.). Solches Vermögen ist zwar dem Zugriff im Rahmen einer schweizerischen Zwangsvollstreckung entzogen; dennoch kann es für die Berechnung des Existenzminimums gemäss Art. 93 SchKG und für die Beantwortung der Frage, ob in der Schweiz gelegene Gegenstände etwa nach Art. 92 Ziff. 1 und 3 SchKG unpfändbar sind, eine Rolle spielen. Entsprechend wird auch in der Literatur die Auffassung vertreten, der Schuldner habe dem pfändenden Beamten jede für eine erfolgreiche Pfändung erforderliche Auskunft zu erteilen (KURT AMONN, Grundriss des Schuldbetreibungs- und Konkursrechts, 4. Aufl., Bern 1988, S. 162) und für die Berechnung des Existenzminimums sei unter Einbezug der unpfändbaren und beschränkt pfändbaren Einkünfte vom Gesamteinkommen auszugehen (AMONN, a.a.O., S. 182). Zutreffend ist überdies die Auffassung der Vorinstanz, dass es letztlich Sache des Betreibungsbeamten ist zu entscheiden, ob ein Vermögenswert gepfändet werden kann. Macht der Schuldner BGE 114 IV 11 S. 14 wahrheitsgetreu Angaben über ihm gehörige Aktien, die sich angeblich im Ausland befinden, dann hat der Betreibungsbeamte wenigstens die Möglichkeit, diesen Angaben nachzugehen.</w:t>
      </w:r>
    </w:p>
    <w:p>
      <w:r>
        <w:rPr>
          <w:b/>
        </w:rPr>
        <w:t>E. 2</w:t>
      </w:r>
    </w:p>
    <w:p>
      <w:r>
        <w:t>Der Beschwerdeführer rügt, die Vorinstanz habe offengelassen, ob die vage umschriebenen weiteren Gesellschaften im Eigentum der V. AG Zug oder im Eigentum des Beschwerdeführers gestanden seien. Diese Frage sei aber von entscheidender Bedeutung. Soweit diese Aktien nämlich Eigentum jener Gesellschaft gewesen seien, habe der Beschwerdeführer den Tatbestand von Art. 164 Ziff. 1 StGB nicht erfüllen können. Die Beschwerde erweist sich in diesem Punkte als begründet: Zwar ist es richtig, dass diese Aktien, wenn sie der V. AG Zug gehörten, den Wert der Aktien dieser Gesellschaft beeinflussten. Allein aus Art. 91 SchKG lässt sich nicht die Verpflichtung des Schuldners herleiten, auch über die Vermögensverhältnisse eines Dritten Auskunft zu geben und zwar auch dann nicht, wenn diese Auskunft für die Einschätzung seiner eigenen Vermögenswerte von Bedeutung sein kann. Insoweit beruft sich der Beschwerdeführer zu Recht auf BGE 103 IV 233 . Eine Verurteilung des Beschwerdeführers wäre somit nur möglich, wenn die Vorinstanz Eigentum des Beschwerdeführers an weiteren verheimlichten Aktien feststellen könnte. Das Urteil ist deshalb insoweit aufzuheben und der Fall zur Sachverhaltsergänzung an die Vorinstanz zurückzuweisen. Sollte sich die Eigentümerstellung des Beschwerdeführers nicht beweisen lassen, so wäre er insoweit freizusprechen.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